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28"/>
        </w:rPr>
      </w:pPr>
      <w:bookmarkStart w:id="0" w:name="_GoBack"/>
      <w:r>
        <w:rPr>
          <w:rFonts w:hint="eastAsia" w:ascii="仿宋_GB2312" w:eastAsia="仿宋_GB2312"/>
          <w:color w:val="000000"/>
          <w:sz w:val="28"/>
        </w:rPr>
        <w:t>附件1：</w:t>
      </w:r>
      <w:bookmarkEnd w:id="0"/>
    </w:p>
    <w:p>
      <w:pPr>
        <w:ind w:firstLine="1430" w:firstLineChars="445"/>
        <w:jc w:val="both"/>
        <w:rPr>
          <w:rFonts w:hint="eastAsia" w:ascii="仿宋_GB2312" w:hAnsi="宋体" w:eastAsia="仿宋_GB2312"/>
          <w:b/>
          <w:kern w:val="0"/>
          <w:sz w:val="32"/>
        </w:rPr>
      </w:pPr>
      <w:r>
        <w:rPr>
          <w:rFonts w:hint="eastAsia" w:ascii="仿宋_GB2312" w:eastAsia="仿宋_GB2312"/>
          <w:b/>
          <w:color w:val="000000"/>
          <w:sz w:val="32"/>
          <w:lang w:val="en-US" w:eastAsia="zh-CN"/>
        </w:rPr>
        <w:t>2021年</w:t>
      </w:r>
      <w:r>
        <w:rPr>
          <w:rFonts w:hint="eastAsia" w:ascii="仿宋_GB2312" w:eastAsia="仿宋_GB2312"/>
          <w:b/>
          <w:color w:val="000000"/>
          <w:sz w:val="32"/>
        </w:rPr>
        <w:t>“</w:t>
      </w:r>
      <w:r>
        <w:rPr>
          <w:rFonts w:hint="eastAsia" w:ascii="仿宋_GB2312" w:eastAsia="仿宋_GB2312"/>
          <w:b/>
          <w:color w:val="000000"/>
          <w:sz w:val="32"/>
          <w:lang w:eastAsia="zh-CN"/>
        </w:rPr>
        <w:t>红船梦</w:t>
      </w:r>
      <w:r>
        <w:rPr>
          <w:rFonts w:hint="eastAsia" w:ascii="仿宋_GB2312" w:eastAsia="仿宋_GB2312"/>
          <w:b/>
          <w:color w:val="000000"/>
          <w:sz w:val="32"/>
        </w:rPr>
        <w:t>”演讲赛</w:t>
      </w:r>
      <w:r>
        <w:rPr>
          <w:rFonts w:hint="eastAsia" w:ascii="仿宋_GB2312" w:hAnsi="宋体" w:eastAsia="仿宋_GB2312"/>
          <w:b/>
          <w:kern w:val="0"/>
          <w:sz w:val="32"/>
        </w:rPr>
        <w:t>评分细则</w:t>
      </w:r>
    </w:p>
    <w:p>
      <w:pPr>
        <w:widowControl/>
        <w:tabs>
          <w:tab w:val="left" w:pos="540"/>
        </w:tabs>
        <w:snapToGrid w:val="0"/>
        <w:spacing w:line="500" w:lineRule="atLeast"/>
        <w:ind w:firstLine="688" w:firstLineChars="246"/>
        <w:jc w:val="left"/>
        <w:rPr>
          <w:rFonts w:ascii="仿宋_GB2312" w:hAnsi="宋体" w:eastAsia="仿宋_GB2312"/>
          <w:kern w:val="0"/>
          <w:sz w:val="28"/>
        </w:rPr>
      </w:pPr>
      <w:r>
        <w:rPr>
          <w:rFonts w:hint="eastAsia" w:ascii="仿宋_GB2312" w:hAnsi="宋体" w:eastAsia="仿宋_GB2312"/>
          <w:kern w:val="0"/>
          <w:sz w:val="28"/>
        </w:rPr>
        <w:t>评分采取100分制，评分按演讲内容、语言表达、形象风度、时间及脱稿要求等</w:t>
      </w:r>
      <w:r>
        <w:rPr>
          <w:rFonts w:hint="eastAsia" w:ascii="仿宋_GB2312" w:hAnsi="宋体" w:eastAsia="仿宋_GB2312"/>
          <w:kern w:val="0"/>
          <w:sz w:val="28"/>
          <w:lang w:val="en-US" w:eastAsia="zh-CN"/>
        </w:rPr>
        <w:t>4</w:t>
      </w:r>
      <w:r>
        <w:rPr>
          <w:rFonts w:hint="eastAsia" w:ascii="仿宋_GB2312" w:hAnsi="宋体" w:eastAsia="仿宋_GB2312"/>
          <w:kern w:val="0"/>
          <w:sz w:val="28"/>
        </w:rPr>
        <w:t>个项目进行，各占分值40分、30分、20分、</w:t>
      </w:r>
      <w:r>
        <w:rPr>
          <w:rFonts w:hint="eastAsia" w:ascii="仿宋_GB2312" w:hAnsi="宋体" w:eastAsia="仿宋_GB2312"/>
          <w:kern w:val="0"/>
          <w:sz w:val="28"/>
          <w:lang w:val="en-US" w:eastAsia="zh-CN"/>
        </w:rPr>
        <w:t>10</w:t>
      </w:r>
      <w:r>
        <w:rPr>
          <w:rFonts w:hint="eastAsia" w:ascii="仿宋_GB2312" w:hAnsi="宋体" w:eastAsia="仿宋_GB2312"/>
          <w:kern w:val="0"/>
          <w:sz w:val="28"/>
        </w:rPr>
        <w:t>分。前三位选手演讲全部结束后，由评委集中评议后亮分。其余选手演讲结束后逐一当场亮分，去掉一个最高分和一个最低分后的平均得分为选手的最后得分。</w:t>
      </w:r>
    </w:p>
    <w:p>
      <w:pPr>
        <w:widowControl/>
        <w:numPr>
          <w:ilvl w:val="0"/>
          <w:numId w:val="1"/>
        </w:numPr>
        <w:snapToGrid w:val="0"/>
        <w:spacing w:line="500" w:lineRule="atLeast"/>
        <w:jc w:val="left"/>
        <w:rPr>
          <w:rFonts w:ascii="仿宋_GB2312" w:hAnsi="宋体" w:eastAsia="仿宋_GB2312"/>
          <w:kern w:val="0"/>
          <w:sz w:val="28"/>
        </w:rPr>
      </w:pPr>
      <w:r>
        <w:rPr>
          <w:rFonts w:hint="eastAsia" w:ascii="仿宋_GB2312" w:hAnsi="宋体" w:eastAsia="仿宋_GB2312"/>
          <w:kern w:val="0"/>
          <w:sz w:val="28"/>
        </w:rPr>
        <w:t>演讲内容 40分</w:t>
      </w:r>
    </w:p>
    <w:p>
      <w:pPr>
        <w:widowControl/>
        <w:snapToGrid w:val="0"/>
        <w:spacing w:line="500" w:lineRule="atLeast"/>
        <w:ind w:firstLine="420" w:firstLineChars="150"/>
        <w:jc w:val="left"/>
        <w:rPr>
          <w:rFonts w:ascii="仿宋_GB2312" w:hAnsi="宋体" w:eastAsia="仿宋_GB2312"/>
          <w:kern w:val="0"/>
          <w:sz w:val="28"/>
        </w:rPr>
      </w:pPr>
      <w:r>
        <w:rPr>
          <w:rFonts w:hint="eastAsia" w:ascii="仿宋_GB2312" w:hAnsi="宋体" w:eastAsia="仿宋_GB2312"/>
          <w:kern w:val="0"/>
          <w:sz w:val="28"/>
        </w:rPr>
        <w:t>演讲要紧扣主题，有较强的思想性、逻辑性、说服力和感染力，能结合实际，有独特的见解，内容生动不枯燥，能抓住观众吸引力，体现出我校大学生积极进取的精神风貌。</w:t>
      </w:r>
    </w:p>
    <w:p>
      <w:pPr>
        <w:widowControl/>
        <w:numPr>
          <w:ilvl w:val="0"/>
          <w:numId w:val="1"/>
        </w:numPr>
        <w:snapToGrid w:val="0"/>
        <w:spacing w:line="500" w:lineRule="atLeast"/>
        <w:jc w:val="left"/>
        <w:rPr>
          <w:rFonts w:ascii="仿宋_GB2312" w:hAnsi="宋体" w:eastAsia="仿宋_GB2312"/>
          <w:kern w:val="0"/>
          <w:sz w:val="28"/>
        </w:rPr>
      </w:pPr>
      <w:r>
        <w:rPr>
          <w:rFonts w:hint="eastAsia" w:ascii="仿宋_GB2312" w:hAnsi="宋体" w:eastAsia="仿宋_GB2312"/>
          <w:kern w:val="0"/>
          <w:sz w:val="28"/>
        </w:rPr>
        <w:t>语言表达30分</w:t>
      </w:r>
    </w:p>
    <w:p>
      <w:pPr>
        <w:widowControl/>
        <w:snapToGrid w:val="0"/>
        <w:spacing w:line="500" w:lineRule="atLeast"/>
        <w:ind w:firstLine="560" w:firstLineChars="200"/>
        <w:jc w:val="left"/>
        <w:rPr>
          <w:rFonts w:ascii="仿宋_GB2312" w:hAnsi="宋体" w:eastAsia="仿宋_GB2312"/>
          <w:kern w:val="0"/>
          <w:sz w:val="28"/>
        </w:rPr>
      </w:pPr>
      <w:r>
        <w:rPr>
          <w:rFonts w:hint="eastAsia" w:ascii="仿宋_GB2312" w:hAnsi="宋体" w:eastAsia="仿宋_GB2312"/>
          <w:kern w:val="0"/>
          <w:sz w:val="28"/>
        </w:rPr>
        <w:t>语音语调标准，吐字清晰，用词正确，语言清亮圆润、生动形象，语气、语调、声音、节奏富于变化，轻重缓急，抑扬顿挫切合演讲内容，能准确、恰当地表情达意，使人在聆听的享受中受到了深刻教育，具有强大的鼓舞性、刺激性、说服力和感召力。姿态、动作、手势、表情、眼神都能准确直观、鲜明自然、形象灵活地表达演讲内容和思想感情，渲染气氛，增强表达效果，不矫揉造作，夸张扭曲。讲者与听者情感相近，能充分调动听众的情绪，使人产生强烈的情感共鸣。</w:t>
      </w:r>
    </w:p>
    <w:p>
      <w:pPr>
        <w:widowControl/>
        <w:snapToGrid w:val="0"/>
        <w:spacing w:line="500" w:lineRule="atLeast"/>
        <w:ind w:firstLine="560" w:firstLineChars="200"/>
        <w:jc w:val="left"/>
        <w:rPr>
          <w:rFonts w:ascii="仿宋_GB2312" w:hAnsi="宋体" w:eastAsia="仿宋_GB2312"/>
          <w:kern w:val="0"/>
          <w:sz w:val="28"/>
        </w:rPr>
      </w:pPr>
      <w:r>
        <w:rPr>
          <w:rFonts w:hint="eastAsia" w:ascii="仿宋_GB2312" w:hAnsi="宋体" w:eastAsia="仿宋_GB2312"/>
          <w:kern w:val="0"/>
          <w:sz w:val="28"/>
        </w:rPr>
        <w:t>（三）形象风度 20分</w:t>
      </w:r>
    </w:p>
    <w:p>
      <w:pPr>
        <w:widowControl/>
        <w:snapToGrid w:val="0"/>
        <w:spacing w:line="500" w:lineRule="atLeast"/>
        <w:ind w:firstLine="560" w:firstLineChars="200"/>
        <w:jc w:val="left"/>
        <w:rPr>
          <w:rFonts w:ascii="仿宋_GB2312" w:hAnsi="宋体" w:eastAsia="仿宋_GB2312"/>
          <w:kern w:val="0"/>
          <w:sz w:val="28"/>
        </w:rPr>
      </w:pPr>
      <w:r>
        <w:rPr>
          <w:rFonts w:hint="eastAsia" w:ascii="仿宋_GB2312" w:hAnsi="宋体" w:eastAsia="仿宋_GB2312"/>
          <w:kern w:val="0"/>
          <w:sz w:val="28"/>
        </w:rPr>
        <w:t>要求衣着整洁，仪态端庄大方，举止自然得体，情绪饱满，自信富有感情。</w:t>
      </w:r>
    </w:p>
    <w:p>
      <w:pPr>
        <w:widowControl/>
        <w:snapToGrid w:val="0"/>
        <w:spacing w:line="500" w:lineRule="atLeast"/>
        <w:ind w:firstLine="560" w:firstLineChars="200"/>
        <w:jc w:val="left"/>
        <w:rPr>
          <w:rFonts w:ascii="仿宋_GB2312" w:hAnsi="宋体" w:eastAsia="仿宋_GB2312"/>
          <w:kern w:val="0"/>
          <w:sz w:val="28"/>
        </w:rPr>
      </w:pPr>
      <w:r>
        <w:rPr>
          <w:rFonts w:hint="eastAsia" w:ascii="仿宋_GB2312" w:hAnsi="宋体" w:eastAsia="仿宋_GB2312"/>
          <w:kern w:val="0"/>
          <w:sz w:val="28"/>
        </w:rPr>
        <w:t>（四）时间及脱稿要求 10分</w:t>
      </w:r>
    </w:p>
    <w:p>
      <w:pPr>
        <w:rPr>
          <w:rFonts w:hint="default" w:ascii="仿宋_GB2312" w:eastAsia="仿宋_GB2312"/>
          <w:color w:val="000000"/>
          <w:sz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lang w:val="en-US" w:eastAsia="zh-CN"/>
        </w:rPr>
        <w:t xml:space="preserve">    时间和脱稿情况评委视情况而定。</w:t>
      </w:r>
    </w:p>
    <w:p>
      <w:pPr>
        <w:rPr>
          <w:rFonts w:hint="eastAsia" w:ascii="仿宋_GB2312" w:eastAsia="仿宋_GB2312"/>
          <w:color w:val="000000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1"/>
      <w:numFmt w:val="japaneseCounting"/>
      <w:lvlText w:val="（%1）"/>
      <w:lvlJc w:val="left"/>
      <w:pPr>
        <w:tabs>
          <w:tab w:val="left" w:pos="1635"/>
        </w:tabs>
        <w:ind w:left="1635" w:hanging="1080"/>
      </w:pPr>
    </w:lvl>
    <w:lvl w:ilvl="1" w:tentative="0">
      <w:start w:val="1"/>
      <w:numFmt w:val="decimal"/>
      <w:lvlText w:val="%2．"/>
      <w:lvlJc w:val="left"/>
      <w:pPr>
        <w:tabs>
          <w:tab w:val="left" w:pos="1335"/>
        </w:tabs>
        <w:ind w:left="1335" w:hanging="360"/>
      </w:pPr>
      <w:rPr>
        <w:rFonts w:ascii="仿宋_GB2312" w:hAnsi="宋体" w:eastAsia="仿宋_GB2312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118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谷</dc:creator>
  <cp:lastModifiedBy>谷</cp:lastModifiedBy>
  <dcterms:modified xsi:type="dcterms:W3CDTF">2021-04-02T00:29:23Z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